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DDB" w:rsidRPr="000F3DDB" w:rsidRDefault="000F3DDB" w:rsidP="000F3D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F3DDB">
        <w:rPr>
          <w:rFonts w:ascii="Times New Roman" w:hAnsi="Times New Roman" w:cs="Times New Roman"/>
          <w:b/>
          <w:sz w:val="28"/>
          <w:szCs w:val="24"/>
        </w:rPr>
        <w:t>Информация по вопросу 1</w:t>
      </w:r>
    </w:p>
    <w:p w:rsidR="000F3DDB" w:rsidRPr="000F3DDB" w:rsidRDefault="000F3DDB" w:rsidP="00AF39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97815" w:rsidRPr="00B97815" w:rsidRDefault="001A5E81" w:rsidP="00CF03A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 социально-экономической ситуации</w:t>
      </w:r>
    </w:p>
    <w:p w:rsidR="00162314" w:rsidRPr="00B97815" w:rsidRDefault="00CF03A1" w:rsidP="00CF03A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7815">
        <w:rPr>
          <w:rFonts w:ascii="Times New Roman" w:hAnsi="Times New Roman" w:cs="Times New Roman"/>
          <w:b/>
          <w:sz w:val="26"/>
          <w:szCs w:val="26"/>
        </w:rPr>
        <w:t xml:space="preserve">в Камчатском крае </w:t>
      </w:r>
      <w:r w:rsidR="001A5E81">
        <w:rPr>
          <w:rFonts w:ascii="Times New Roman" w:hAnsi="Times New Roman" w:cs="Times New Roman"/>
          <w:b/>
          <w:sz w:val="26"/>
          <w:szCs w:val="26"/>
        </w:rPr>
        <w:t>за</w:t>
      </w:r>
      <w:r w:rsidRPr="00B97815">
        <w:rPr>
          <w:rFonts w:ascii="Times New Roman" w:hAnsi="Times New Roman" w:cs="Times New Roman"/>
          <w:b/>
          <w:sz w:val="26"/>
          <w:szCs w:val="26"/>
        </w:rPr>
        <w:t xml:space="preserve"> 201</w:t>
      </w:r>
      <w:r w:rsidR="00236022" w:rsidRPr="00B97815">
        <w:rPr>
          <w:rFonts w:ascii="Times New Roman" w:hAnsi="Times New Roman" w:cs="Times New Roman"/>
          <w:b/>
          <w:sz w:val="26"/>
          <w:szCs w:val="26"/>
        </w:rPr>
        <w:t>5</w:t>
      </w:r>
      <w:r w:rsidRPr="00B97815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5E456D" w:rsidRPr="00B97815" w:rsidRDefault="005E456D" w:rsidP="00CF03A1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bookmarkStart w:id="0" w:name="_GoBack"/>
      <w:bookmarkEnd w:id="0"/>
    </w:p>
    <w:p w:rsidR="00CF03A1" w:rsidRPr="00893C31" w:rsidRDefault="005E456D" w:rsidP="00893C31">
      <w:pPr>
        <w:pStyle w:val="a8"/>
        <w:numPr>
          <w:ilvl w:val="0"/>
          <w:numId w:val="1"/>
        </w:numPr>
        <w:tabs>
          <w:tab w:val="left" w:pos="993"/>
        </w:tabs>
        <w:spacing w:after="120"/>
        <w:ind w:left="0" w:firstLine="709"/>
        <w:rPr>
          <w:rFonts w:ascii="Times New Roman" w:hAnsi="Times New Roman"/>
          <w:b/>
          <w:i/>
          <w:sz w:val="24"/>
          <w:szCs w:val="24"/>
        </w:rPr>
      </w:pPr>
      <w:r w:rsidRPr="00893C31">
        <w:rPr>
          <w:rFonts w:ascii="Times New Roman" w:hAnsi="Times New Roman"/>
          <w:b/>
          <w:i/>
          <w:sz w:val="24"/>
          <w:szCs w:val="24"/>
        </w:rPr>
        <w:t>Социально-экономическое положение Камчатского края за 201</w:t>
      </w:r>
      <w:r w:rsidR="00B97815" w:rsidRPr="00893C31">
        <w:rPr>
          <w:rFonts w:ascii="Times New Roman" w:hAnsi="Times New Roman"/>
          <w:b/>
          <w:i/>
          <w:sz w:val="24"/>
          <w:szCs w:val="24"/>
        </w:rPr>
        <w:t>5</w:t>
      </w:r>
      <w:r w:rsidRPr="00893C31">
        <w:rPr>
          <w:rFonts w:ascii="Times New Roman" w:hAnsi="Times New Roman"/>
          <w:b/>
          <w:i/>
          <w:sz w:val="24"/>
          <w:szCs w:val="24"/>
        </w:rPr>
        <w:t xml:space="preserve"> год.</w:t>
      </w:r>
    </w:p>
    <w:p w:rsidR="00EE4328" w:rsidRPr="00DC6DAD" w:rsidRDefault="00EE4328" w:rsidP="00C568F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>Социально-экономическое положение</w:t>
      </w:r>
      <w:r w:rsidR="00683D01" w:rsidRPr="00DC6DAD">
        <w:rPr>
          <w:rFonts w:ascii="Times New Roman" w:hAnsi="Times New Roman" w:cs="Times New Roman"/>
          <w:sz w:val="24"/>
          <w:szCs w:val="24"/>
        </w:rPr>
        <w:t xml:space="preserve"> Камчатского края по итогам 201</w:t>
      </w:r>
      <w:r w:rsidR="00286531">
        <w:rPr>
          <w:rFonts w:ascii="Times New Roman" w:hAnsi="Times New Roman" w:cs="Times New Roman"/>
          <w:sz w:val="24"/>
          <w:szCs w:val="24"/>
        </w:rPr>
        <w:t>5</w:t>
      </w:r>
      <w:r w:rsidRPr="00DC6DAD">
        <w:rPr>
          <w:rFonts w:ascii="Times New Roman" w:hAnsi="Times New Roman" w:cs="Times New Roman"/>
          <w:sz w:val="24"/>
          <w:szCs w:val="24"/>
        </w:rPr>
        <w:t xml:space="preserve"> года характеризуется как наличием позитивных тенденций развития, так и снижением темпов экономических показателей отдельных отраслей.</w:t>
      </w:r>
    </w:p>
    <w:p w:rsidR="00DC6DAD" w:rsidRPr="00DC6DAD" w:rsidRDefault="00DC6DAD" w:rsidP="00DC6D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>Оборот организаций по всем видам экономической деятельности составил  234 371,2 млн рублей, увеличившись на 18,0 % к уровню 2014 года в действующих ценах.</w:t>
      </w:r>
    </w:p>
    <w:p w:rsidR="00DC6DAD" w:rsidRPr="00DC6DAD" w:rsidRDefault="00DC6DAD" w:rsidP="00DC6D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 xml:space="preserve">Отмечено увеличение промышленного производства, объема платных услуг населению. </w:t>
      </w:r>
    </w:p>
    <w:p w:rsidR="00DC6DAD" w:rsidRPr="00DC6DAD" w:rsidRDefault="00DC6DAD" w:rsidP="00DC6D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 xml:space="preserve"> Зафиксирован спад в строительстве, пассажирообороте и грузообороте автотранспорта, обороте розничной торговли и  общественного питания, производстве продукции сельского хозяйства, ввода в действие жилых домов.</w:t>
      </w:r>
    </w:p>
    <w:p w:rsidR="00DC6DAD" w:rsidRPr="00DC6DAD" w:rsidRDefault="00DC6DAD" w:rsidP="00DC6D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 xml:space="preserve">Индекс промышленного производства составил  102,0 %. </w:t>
      </w:r>
    </w:p>
    <w:p w:rsidR="00DC6DAD" w:rsidRPr="00DC6DAD" w:rsidRDefault="00DC6DAD" w:rsidP="00DC6D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 xml:space="preserve">Предприятиями, осуществляющими добычу полезных ископаемых, отгружено продукции на 11 342,4 млн рублей или 155,2 % к уровню 2014 года в действующих ценах, индекс производства составил 112,4 %. </w:t>
      </w:r>
    </w:p>
    <w:p w:rsidR="00DC6DAD" w:rsidRPr="00DC6DAD" w:rsidRDefault="00DC6DAD" w:rsidP="00DC6D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>В добыче топливно-энергетических полезных ископаемых индекс производства  составил 100,7 %, рост обеспечен увеличением добычи природного газа (101,3 %).</w:t>
      </w:r>
    </w:p>
    <w:p w:rsidR="00DC6DAD" w:rsidRPr="00DC6DAD" w:rsidRDefault="00DC6DAD" w:rsidP="00DC6D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>По виду деятельности «добыча полезных ископаемых, кроме топливно-энергетических», индекс производства составил 116,4 %. Выросла добыча руд цветных металлов на 17,1 %, в связи с вовлечением в эксплуатацию участков с высоким содержанием металла в руде и вводом в эксплуатацию ГОК «Аметистовый». Производство нерудных строительных материалов составило 732,3 тыс. куб. метров (84,4</w:t>
      </w:r>
      <w:r w:rsidR="00E32C47">
        <w:rPr>
          <w:rFonts w:ascii="Times New Roman" w:hAnsi="Times New Roman" w:cs="Times New Roman"/>
          <w:sz w:val="24"/>
          <w:szCs w:val="24"/>
        </w:rPr>
        <w:t> </w:t>
      </w:r>
      <w:r w:rsidRPr="00DC6DAD">
        <w:rPr>
          <w:rFonts w:ascii="Times New Roman" w:hAnsi="Times New Roman" w:cs="Times New Roman"/>
          <w:sz w:val="24"/>
          <w:szCs w:val="24"/>
        </w:rPr>
        <w:t>%), снижение вызвано сокращением объемов строительных работ.</w:t>
      </w:r>
    </w:p>
    <w:p w:rsidR="00DC6DAD" w:rsidRPr="00DC6DAD" w:rsidRDefault="00DC6DAD" w:rsidP="00DC6D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>Основу обрабатывающей промышленности на 91,9 % составило производство пищевых продуктов и на 4,5 % - производство транспортных средств и оборудования (судоремонт).</w:t>
      </w:r>
    </w:p>
    <w:p w:rsidR="00DC6DAD" w:rsidRPr="00DC6DAD" w:rsidRDefault="00DC6DAD" w:rsidP="00DC6D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 xml:space="preserve">В обрабатывающих производствах отгружено товаров собственного производства на сумму 63 584,4 млн рублей или 156,7 % к уровню 2014 года в действующих ценах. Индекс производства составил 100,7 %. </w:t>
      </w:r>
    </w:p>
    <w:p w:rsidR="00DC6DAD" w:rsidRPr="00DC6DAD" w:rsidRDefault="00DC6DAD" w:rsidP="00DC6D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>Отмечено увеличение производства пищевых продуктов, индекс производства составил 103,2 %, объем отгруженных товаров – 58 444,4 млн рублей (164,7 % к уровню 2014 года в действующих ценах). Производство пищевой продукции, за исключением рыбной продукции, ориентировано на региональный рынок. Производство рыбной продукции составило 715 891,8 тонн (107,5 %). Рыбодобывающими предприятиями Камчатского края выловлено 982,1 тыс. тонн рыбы и морепродуктов (109,7 % к уровню 2014 года).</w:t>
      </w:r>
    </w:p>
    <w:p w:rsidR="00DC6DAD" w:rsidRPr="00DC6DAD" w:rsidRDefault="00DC6DAD" w:rsidP="00DC6D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>Снижено производство колбасных изделий (92,0 %), пива (87,9 %). Увеличено производство мяса (152,3 %), цельномолочной продукции (104,7 %), кондитерских изделий (102,5 %), минеральной воды (100,1 %).</w:t>
      </w:r>
    </w:p>
    <w:p w:rsidR="00DC6DAD" w:rsidRPr="00DC6DAD" w:rsidRDefault="00DC6DAD" w:rsidP="00DC6D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 xml:space="preserve">Объем отгруженных товаров судоремонтных предприятий составил 2 839,2 млн рублей или 102,9 % к уровню 2014 года в действующих ценах, индекс производства – </w:t>
      </w:r>
      <w:r w:rsidRPr="00DC6DAD">
        <w:rPr>
          <w:rFonts w:ascii="Times New Roman" w:hAnsi="Times New Roman" w:cs="Times New Roman"/>
          <w:sz w:val="24"/>
          <w:szCs w:val="24"/>
        </w:rPr>
        <w:lastRenderedPageBreak/>
        <w:t>76,9 %.</w:t>
      </w:r>
    </w:p>
    <w:p w:rsidR="00DC6DAD" w:rsidRPr="00DC6DAD" w:rsidRDefault="00DC6DAD" w:rsidP="00DC6D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 xml:space="preserve">На предприятиях по производству электроэнергии, газа и воды отгружено продукции собственного производства на сумму 17 188,7 млн рублей, что составляет 107,0 % к уровню 2014 года в действующих ценах. Индекс производства составил 95,6 %. </w:t>
      </w:r>
    </w:p>
    <w:p w:rsidR="00DC6DAD" w:rsidRPr="00DC6DAD" w:rsidRDefault="00DC6DAD" w:rsidP="00DC6D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 xml:space="preserve">Электростанциями края произведено электроэнергии 1 726,8 млн кВт/час (100,7 %), тепловой энергии – 3 187,6 тыс. Гкал (94,2 %). </w:t>
      </w:r>
    </w:p>
    <w:p w:rsidR="00DC6DAD" w:rsidRPr="00DC6DAD" w:rsidRDefault="00DC6DAD" w:rsidP="00DC6D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>В агропромышленном секторе экономики производство валовой продукции во всех категориях хозяйств составило 8 469,6 млн рублей (94,6 % к уровню 2014 года в сопоставимых ценах). Снижено производство продукции растениеводства (картофель – на 9,7 %, овощи – на 7,0 %) из-за неблагоприятных погодно-климатических условий, сложившихся в летний период, что негативно отразилось на вегетационном развитии сельскохозяйственных культур и привело к снижению урожайности основных сельскохозяйственных культур (картофеля  - на 2,5 %, овощей – на 2,7 %).</w:t>
      </w:r>
    </w:p>
    <w:p w:rsidR="00DC6DAD" w:rsidRPr="00DC6DAD" w:rsidRDefault="00DC6DAD" w:rsidP="00DC6D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 xml:space="preserve">Увеличено производство мяса (скота и птицы на убой в живом весе) – на 5,6 %  (в связи с увеличением производства на убой свиней в сельскохозяйственных организациях Камчатского края на 18,4 %), объем производства составил 5,2 тыс. тонн. </w:t>
      </w:r>
    </w:p>
    <w:p w:rsidR="00DC6DAD" w:rsidRPr="00DC6DAD" w:rsidRDefault="00DC6DAD" w:rsidP="00DC6D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 xml:space="preserve">Объем производства молока увеличился на 1,7 % в результате роста поголовья коров. Средний надой молока на 1 корову составил 3 421,0 кг (97,1 % к уровню 2014 года). </w:t>
      </w:r>
    </w:p>
    <w:p w:rsidR="00DC6DAD" w:rsidRPr="00DC6DAD" w:rsidRDefault="00DC6DAD" w:rsidP="00DC6D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>На 14,9 % увеличено производство яиц, вследствие увеличения поголовья кур-несушек в структуре производственного стада, яйценоскость кур-несушек – 320,0 яиц на 1 курицу. В декабре 2015 года на птицефабрике «Пионерская» после реконструкции введено в эксплуатацию очередное производственное помещение для содержания кур-несушек, рассчитанное на 37 тысяч голов. В 2016 году модернизация фабрики будет продолжена.</w:t>
      </w:r>
    </w:p>
    <w:p w:rsidR="00212C11" w:rsidRPr="00212C11" w:rsidRDefault="00212C11" w:rsidP="00212C1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C11">
        <w:rPr>
          <w:rFonts w:ascii="Times New Roman" w:hAnsi="Times New Roman" w:cs="Times New Roman"/>
          <w:sz w:val="24"/>
          <w:szCs w:val="24"/>
        </w:rPr>
        <w:t xml:space="preserve">В соответствии с Общероссийским классификатором видов экономической деятельности объём работ выполненных по виду деятельности «Строительство» на территории Камчатского края в 2015 году составил 16 330,6 млн рублей, что на 7,6 % ниже уровня 2014 года.  </w:t>
      </w:r>
    </w:p>
    <w:p w:rsidR="00212C11" w:rsidRPr="00212C11" w:rsidRDefault="00DC0103" w:rsidP="00212C1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0103">
        <w:rPr>
          <w:rFonts w:ascii="Times New Roman" w:hAnsi="Times New Roman" w:cs="Times New Roman"/>
          <w:sz w:val="24"/>
          <w:szCs w:val="24"/>
        </w:rPr>
        <w:t>За счет всех источников финансирования в 2015 году введен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C0103">
        <w:rPr>
          <w:rFonts w:ascii="Times New Roman" w:hAnsi="Times New Roman" w:cs="Times New Roman"/>
          <w:sz w:val="24"/>
          <w:szCs w:val="24"/>
        </w:rPr>
        <w:t xml:space="preserve"> в эксплуатацию 220 жилых домов на 883 квартиры, общей площадью 72,261 тыс. кв. метров, в том числе населением за счет собственных и заемных средств 34,189 тыс. кв. метров</w:t>
      </w:r>
      <w:r w:rsidR="00212C11" w:rsidRPr="00DC0103">
        <w:rPr>
          <w:rFonts w:ascii="Times New Roman" w:hAnsi="Times New Roman" w:cs="Times New Roman"/>
          <w:sz w:val="24"/>
          <w:szCs w:val="24"/>
        </w:rPr>
        <w:t xml:space="preserve"> (в 2014 году введено 178 жилых домов на 1 211 квартир, общей площадью 87,7 тыс. кв. метров, в том числе населением за счет собственных и земных средств 26,1 тыс. кв. метров).</w:t>
      </w:r>
      <w:r w:rsidR="00212C11" w:rsidRPr="00212C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C11" w:rsidRPr="00212C11" w:rsidRDefault="00212C11" w:rsidP="00212C1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C11">
        <w:rPr>
          <w:rFonts w:ascii="Times New Roman" w:hAnsi="Times New Roman" w:cs="Times New Roman"/>
          <w:sz w:val="24"/>
          <w:szCs w:val="24"/>
        </w:rPr>
        <w:t>В рамках реализации мероприятий ФЦП «Повышение устойчивости жилых домов, основных объектов и систем жизнеобеспечения в сейсмических районах Российской Федерации на 2009-2018 годы» (далее – ФЦП) в соответствии с заключенным договором подряда  № 3/13-Д от 16.04.2013 завершаются работы по строительству 2 этапа  второй очереди микрорайона жилой застройки в районе Северо-Восточного шоссе г.</w:t>
      </w:r>
      <w:r w:rsidR="00884A8C">
        <w:t> </w:t>
      </w:r>
      <w:r w:rsidRPr="00212C11">
        <w:rPr>
          <w:rFonts w:ascii="Times New Roman" w:hAnsi="Times New Roman" w:cs="Times New Roman"/>
          <w:sz w:val="24"/>
          <w:szCs w:val="24"/>
        </w:rPr>
        <w:t>Петропавловска-Камчатского, предусматривающего строительство 7 жилых домов на 381 квартиру общей площадью 20,5 тыс. кв. метров (финансирование за счет остатков федерального бюджета 2013 года в сумме 346,2 млн рублей, ввод объекта планировался в 2015 году). В 2015 году из 7 жилых домов введено 5 жилых дома общей площадью 12,1 тыс. кв. метров. Ввод в эксплуатацию оставшихся 2 домов переносится на 2016 год. Техническая готовность – 92 %.</w:t>
      </w:r>
    </w:p>
    <w:p w:rsidR="00212C11" w:rsidRPr="00212C11" w:rsidRDefault="00212C11" w:rsidP="00212C1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C11">
        <w:rPr>
          <w:rFonts w:ascii="Times New Roman" w:hAnsi="Times New Roman" w:cs="Times New Roman"/>
          <w:sz w:val="24"/>
          <w:szCs w:val="24"/>
        </w:rPr>
        <w:t xml:space="preserve">В соответствии с заключенным договором подряда № 17/13-Д от 23.12.2013 </w:t>
      </w:r>
      <w:r w:rsidRPr="00212C11">
        <w:rPr>
          <w:rFonts w:ascii="Times New Roman" w:hAnsi="Times New Roman" w:cs="Times New Roman"/>
          <w:sz w:val="24"/>
          <w:szCs w:val="24"/>
        </w:rPr>
        <w:lastRenderedPageBreak/>
        <w:t>продолжаются работы по строительству 3 этапа, в составе которого планируется 2 жилых дома на 150 квартир общей площадью 7,8 тыс. кв. метров (финансирование за счет остатков федерального бюджета 2014 года в сумме 235,8 млн рублей и предоставленной в 2015 году субсидии из федерального бюджета в сумме 10,0 млн рублей в соответствии с заключенным Соглашением, ввод объекта переносится на 2016 год). Техническая готовность – 59 %.</w:t>
      </w:r>
    </w:p>
    <w:p w:rsidR="00212C11" w:rsidRPr="00212C11" w:rsidRDefault="00212C11" w:rsidP="00212C1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C11">
        <w:rPr>
          <w:rFonts w:ascii="Times New Roman" w:hAnsi="Times New Roman" w:cs="Times New Roman"/>
          <w:sz w:val="24"/>
          <w:szCs w:val="24"/>
        </w:rPr>
        <w:t xml:space="preserve">16.03.2015 года поступили остатки субсидии из федерального бюджета 2014 года, сложившиеся по состоянию на 01.01.2015 года (средства не освоены в полном объеме из-за позднего поступления средств федерального бюджета в 2014 году) в объеме 205,5 млн рублей  на выполнение работ по сейсмоусилению  объектов социальной сферы. </w:t>
      </w:r>
    </w:p>
    <w:p w:rsidR="00212C11" w:rsidRPr="00212C11" w:rsidRDefault="00212C11" w:rsidP="00212C1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C11">
        <w:rPr>
          <w:rFonts w:ascii="Times New Roman" w:hAnsi="Times New Roman" w:cs="Times New Roman"/>
          <w:sz w:val="24"/>
          <w:szCs w:val="24"/>
        </w:rPr>
        <w:t>В 2015 году подписано Соглашение с Минстроем России (от 15.04.2015                  № 05-101/С) о предоставлении субсидии из федерального бюджета бюджету Камчатского края на реализацию мероприятий ФЦП и перечислении средств из федерального бюджета. В соответствии с Соглашением из федерального бюджета в 2015 году направлено 126,0 млн рублей на продолжение работ по строительству 3 этапа второй очереди  микрорайона жилой застройки в районе Северо-Восточного шоссе г. Петропавловска-Камчатского и сейсмоусилению объектов социальной сферы.</w:t>
      </w:r>
    </w:p>
    <w:p w:rsidR="00212C11" w:rsidRPr="00212C11" w:rsidRDefault="00212C11" w:rsidP="00212C1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C11">
        <w:rPr>
          <w:rFonts w:ascii="Times New Roman" w:hAnsi="Times New Roman" w:cs="Times New Roman"/>
          <w:sz w:val="24"/>
          <w:szCs w:val="24"/>
        </w:rPr>
        <w:t xml:space="preserve">Кроме средств федерального бюджета, объем бюджетных ассигнований на 2015 год предусмотрен в краевом бюджете в размере более 20,8 млн рублей на софинансирование работ по строительству выше указанной жилой застройки в краевой столице в рамках подпрограммы «Повышение устойчивости жилых домов, основных объектов и систем жизнеобеспечения в Камчатском крае» государственной программы Камчатского края «Обеспечение доступным и комфортным жильем жителей Камчатского края на 2014-2018 годы». </w:t>
      </w:r>
    </w:p>
    <w:p w:rsidR="00212C11" w:rsidRPr="00212C11" w:rsidRDefault="00212C11" w:rsidP="00212C1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C11">
        <w:rPr>
          <w:rFonts w:ascii="Times New Roman" w:hAnsi="Times New Roman" w:cs="Times New Roman"/>
          <w:sz w:val="24"/>
          <w:szCs w:val="24"/>
        </w:rPr>
        <w:t>В 2015 году подписано Соглашение с Минстроем России (от 12.10.2015 № 05-365/С) о предоставлении субсидии из федерального бюджета бюджету Камчатского края на реализацию мероприятий ФЦП и перечисления средств из федерального бюджета. В соответствии с Соглашением из федерального бюджета в 2015 году направлено 120,9 млн рублей на строительство многоквартирного жилого дома в районе ул. Хасанская г.</w:t>
      </w:r>
      <w:r w:rsidR="00884A8C">
        <w:rPr>
          <w:rFonts w:ascii="Times New Roman" w:hAnsi="Times New Roman" w:cs="Times New Roman"/>
          <w:sz w:val="24"/>
          <w:szCs w:val="24"/>
        </w:rPr>
        <w:t> </w:t>
      </w:r>
      <w:r w:rsidRPr="00212C11">
        <w:rPr>
          <w:rFonts w:ascii="Times New Roman" w:hAnsi="Times New Roman" w:cs="Times New Roman"/>
          <w:sz w:val="24"/>
          <w:szCs w:val="24"/>
        </w:rPr>
        <w:t>Петропавловске-Камчатском общей площадью 4,7 тыс. кв. метров и сейсмоусиление зданий центра ГБУЗ «Камчатский краевой психоне</w:t>
      </w:r>
      <w:r w:rsidR="00884A8C">
        <w:rPr>
          <w:rFonts w:ascii="Times New Roman" w:hAnsi="Times New Roman" w:cs="Times New Roman"/>
          <w:sz w:val="24"/>
          <w:szCs w:val="24"/>
        </w:rPr>
        <w:t>врологический диспансер» по ул. </w:t>
      </w:r>
      <w:r w:rsidRPr="00212C11">
        <w:rPr>
          <w:rFonts w:ascii="Times New Roman" w:hAnsi="Times New Roman" w:cs="Times New Roman"/>
          <w:sz w:val="24"/>
          <w:szCs w:val="24"/>
        </w:rPr>
        <w:t>Карагинская, 22 в г. Петропавловске-Камчатском общей площадью 4,3 тыс. кв. метров.</w:t>
      </w:r>
    </w:p>
    <w:p w:rsidR="00212C11" w:rsidRPr="00212C11" w:rsidRDefault="00212C11" w:rsidP="00212C1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C11">
        <w:rPr>
          <w:rFonts w:ascii="Times New Roman" w:hAnsi="Times New Roman" w:cs="Times New Roman"/>
          <w:sz w:val="24"/>
          <w:szCs w:val="24"/>
        </w:rPr>
        <w:t xml:space="preserve">В соответствии с утвержденной Федеральной адресной инвестиционной  программой на 2015 год и на плановый период  2016 и 2017 годов (далее – ФАИП), с учетом внесенных на 01.01.2016 года изменений, в 2015 году финансирование </w:t>
      </w:r>
      <w:r w:rsidR="006B53F5" w:rsidRPr="00212C11">
        <w:rPr>
          <w:rFonts w:ascii="Times New Roman" w:hAnsi="Times New Roman" w:cs="Times New Roman"/>
          <w:sz w:val="24"/>
          <w:szCs w:val="24"/>
        </w:rPr>
        <w:t xml:space="preserve">из федерального бюджета </w:t>
      </w:r>
      <w:r w:rsidRPr="00212C11">
        <w:rPr>
          <w:rFonts w:ascii="Times New Roman" w:hAnsi="Times New Roman" w:cs="Times New Roman"/>
          <w:sz w:val="24"/>
          <w:szCs w:val="24"/>
        </w:rPr>
        <w:t>объектов капитального строительства государственной собственности на территории Камчатского края в рамках реализации федеральных целевых программ и финансирование объектов и мероприятий, не включенных в федеральные целевые программы (непрограммная часть)</w:t>
      </w:r>
      <w:r w:rsidR="006B53F5">
        <w:rPr>
          <w:rFonts w:ascii="Times New Roman" w:hAnsi="Times New Roman" w:cs="Times New Roman"/>
          <w:sz w:val="24"/>
          <w:szCs w:val="24"/>
        </w:rPr>
        <w:t>,</w:t>
      </w:r>
      <w:r w:rsidRPr="00212C11">
        <w:rPr>
          <w:rFonts w:ascii="Times New Roman" w:hAnsi="Times New Roman" w:cs="Times New Roman"/>
          <w:sz w:val="24"/>
          <w:szCs w:val="24"/>
        </w:rPr>
        <w:t xml:space="preserve"> </w:t>
      </w:r>
      <w:r w:rsidR="006B53F5">
        <w:rPr>
          <w:rFonts w:ascii="Times New Roman" w:hAnsi="Times New Roman" w:cs="Times New Roman"/>
          <w:sz w:val="24"/>
          <w:szCs w:val="24"/>
        </w:rPr>
        <w:t>предусмотрено</w:t>
      </w:r>
      <w:r w:rsidRPr="00212C11">
        <w:rPr>
          <w:rFonts w:ascii="Times New Roman" w:hAnsi="Times New Roman" w:cs="Times New Roman"/>
          <w:sz w:val="24"/>
          <w:szCs w:val="24"/>
        </w:rPr>
        <w:t xml:space="preserve"> в объеме 2 785,9 млн рублей. </w:t>
      </w:r>
    </w:p>
    <w:p w:rsidR="00212C11" w:rsidRPr="00212C11" w:rsidRDefault="00212C11" w:rsidP="00212C1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C11">
        <w:rPr>
          <w:rFonts w:ascii="Times New Roman" w:hAnsi="Times New Roman" w:cs="Times New Roman"/>
          <w:sz w:val="24"/>
          <w:szCs w:val="24"/>
        </w:rPr>
        <w:t xml:space="preserve">Федеральная поддержка инвестиционной деятельности Камчатского края в 2015 году согласно ФАИП </w:t>
      </w:r>
      <w:r w:rsidR="00894D7A">
        <w:rPr>
          <w:rFonts w:ascii="Times New Roman" w:hAnsi="Times New Roman" w:cs="Times New Roman"/>
          <w:sz w:val="24"/>
          <w:szCs w:val="24"/>
        </w:rPr>
        <w:t>осуществлялась</w:t>
      </w:r>
      <w:r w:rsidRPr="00212C11">
        <w:rPr>
          <w:rFonts w:ascii="Times New Roman" w:hAnsi="Times New Roman" w:cs="Times New Roman"/>
          <w:sz w:val="24"/>
          <w:szCs w:val="24"/>
        </w:rPr>
        <w:t xml:space="preserve"> в рамках 6 различных федеральных целевых программ (далее – ФЦП, в 2014 году - 7), основн</w:t>
      </w:r>
      <w:r w:rsidR="00894D7A">
        <w:rPr>
          <w:rFonts w:ascii="Times New Roman" w:hAnsi="Times New Roman" w:cs="Times New Roman"/>
          <w:sz w:val="24"/>
          <w:szCs w:val="24"/>
        </w:rPr>
        <w:t>ой</w:t>
      </w:r>
      <w:r w:rsidRPr="00212C11">
        <w:rPr>
          <w:rFonts w:ascii="Times New Roman" w:hAnsi="Times New Roman" w:cs="Times New Roman"/>
          <w:sz w:val="24"/>
          <w:szCs w:val="24"/>
        </w:rPr>
        <w:t xml:space="preserve"> из которых, по объёму запланированных бюджетных  ассигнований, является ФЦП «Социально-экономическое развитие Дальнего Востока и Байкальского региона на период до 2018 года».</w:t>
      </w:r>
    </w:p>
    <w:p w:rsidR="00212C11" w:rsidRPr="00212C11" w:rsidRDefault="00212C11" w:rsidP="00212C1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C11">
        <w:rPr>
          <w:rFonts w:ascii="Times New Roman" w:hAnsi="Times New Roman" w:cs="Times New Roman"/>
          <w:sz w:val="24"/>
          <w:szCs w:val="24"/>
        </w:rPr>
        <w:t xml:space="preserve">При этом финансирование строек и объектов в рамках реализации ФЦП </w:t>
      </w:r>
      <w:r w:rsidRPr="00212C11">
        <w:rPr>
          <w:rFonts w:ascii="Times New Roman" w:hAnsi="Times New Roman" w:cs="Times New Roman"/>
          <w:sz w:val="24"/>
          <w:szCs w:val="24"/>
        </w:rPr>
        <w:lastRenderedPageBreak/>
        <w:t>«Экономическое и социальное развитие Дальнего Востока и Байкальского региона на период до 2018 года», в 2015 году предусмотрен</w:t>
      </w:r>
      <w:r w:rsidR="00275DBD">
        <w:rPr>
          <w:rFonts w:ascii="Times New Roman" w:hAnsi="Times New Roman" w:cs="Times New Roman"/>
          <w:sz w:val="24"/>
          <w:szCs w:val="24"/>
        </w:rPr>
        <w:t>о</w:t>
      </w:r>
      <w:r w:rsidRPr="00212C11">
        <w:rPr>
          <w:rFonts w:ascii="Times New Roman" w:hAnsi="Times New Roman" w:cs="Times New Roman"/>
          <w:sz w:val="24"/>
          <w:szCs w:val="24"/>
        </w:rPr>
        <w:t xml:space="preserve"> в объеме 2 240,1 млн рублей или 80,41 % от общего объема ФАИП на 2015 год, в том числе по направлениям:  «воздушный транспорт» - 432,0 млн рублей, «морской транспорт» - 335,8 млн рублей и «дорожное хозяйство» - 1 472,2 млн рублей.</w:t>
      </w:r>
    </w:p>
    <w:p w:rsidR="00212C11" w:rsidRPr="00212C11" w:rsidRDefault="00212C11" w:rsidP="00212C1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C11">
        <w:rPr>
          <w:rFonts w:ascii="Times New Roman" w:hAnsi="Times New Roman" w:cs="Times New Roman"/>
          <w:sz w:val="24"/>
          <w:szCs w:val="24"/>
        </w:rPr>
        <w:t>В рамках ФЦП «Экономическое и социальное развитие Дальнего Востока и Байкальского региона на период до 2018 года» в 2015 году завершена реконструкция автомобильной дороги Петропавловск-Камчатский - Мильково на участке км 249 - км 260 (Объект введен в ноябре 2015 г. (10,56 км).</w:t>
      </w:r>
    </w:p>
    <w:p w:rsidR="00212C11" w:rsidRPr="00212C11" w:rsidRDefault="00212C11" w:rsidP="00212C1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C11">
        <w:rPr>
          <w:rFonts w:ascii="Times New Roman" w:hAnsi="Times New Roman" w:cs="Times New Roman"/>
          <w:sz w:val="24"/>
          <w:szCs w:val="24"/>
        </w:rPr>
        <w:t>Кроме того, за счет остатков средств на 01.01.2015</w:t>
      </w:r>
      <w:r w:rsidR="00275DBD">
        <w:rPr>
          <w:rFonts w:ascii="Times New Roman" w:hAnsi="Times New Roman" w:cs="Times New Roman"/>
          <w:sz w:val="24"/>
          <w:szCs w:val="24"/>
        </w:rPr>
        <w:t xml:space="preserve"> </w:t>
      </w:r>
      <w:r w:rsidRPr="00212C11">
        <w:rPr>
          <w:rFonts w:ascii="Times New Roman" w:hAnsi="Times New Roman" w:cs="Times New Roman"/>
          <w:sz w:val="24"/>
          <w:szCs w:val="24"/>
        </w:rPr>
        <w:t>г. в ноябре 2015 введен объект «Реконструкция автомобильной дороги Мильково - Ключи - Усть-Камчатск на участке км 263 - км 267». Проектом предусмотрено сооружение мостов через р. Камчатка длиной 564,7 п.м. и реконструкция подходов к мостам 3,124 км.</w:t>
      </w:r>
    </w:p>
    <w:p w:rsidR="00212C11" w:rsidRPr="00212C11" w:rsidRDefault="00212C11" w:rsidP="00212C1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C11">
        <w:rPr>
          <w:rFonts w:ascii="Times New Roman" w:hAnsi="Times New Roman" w:cs="Times New Roman"/>
          <w:sz w:val="24"/>
          <w:szCs w:val="24"/>
        </w:rPr>
        <w:t>Также в рамках мероприятия осуществляется строительство и реконструкция следующих объектов:</w:t>
      </w:r>
    </w:p>
    <w:p w:rsidR="00212C11" w:rsidRPr="00212C11" w:rsidRDefault="00212C11" w:rsidP="00212C1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C11">
        <w:rPr>
          <w:rFonts w:ascii="Times New Roman" w:hAnsi="Times New Roman" w:cs="Times New Roman"/>
          <w:sz w:val="24"/>
          <w:szCs w:val="24"/>
        </w:rPr>
        <w:t>- Реконструкция автомобильной дороги Петропавловск-Камчатский - Мильково на участке км 106 – км 112;</w:t>
      </w:r>
    </w:p>
    <w:p w:rsidR="00212C11" w:rsidRPr="00212C11" w:rsidRDefault="00212C11" w:rsidP="00212C1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C11">
        <w:rPr>
          <w:rFonts w:ascii="Times New Roman" w:hAnsi="Times New Roman" w:cs="Times New Roman"/>
          <w:sz w:val="24"/>
          <w:szCs w:val="24"/>
        </w:rPr>
        <w:t xml:space="preserve"> - Строительство мостового перехода через р. Кирганик на 16 км автомобильной дороги Мильково – Ключи – Усть-Камчатск;</w:t>
      </w:r>
    </w:p>
    <w:p w:rsidR="00212C11" w:rsidRPr="00212C11" w:rsidRDefault="00212C11" w:rsidP="00212C1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C11">
        <w:rPr>
          <w:rFonts w:ascii="Times New Roman" w:hAnsi="Times New Roman" w:cs="Times New Roman"/>
          <w:sz w:val="24"/>
          <w:szCs w:val="24"/>
        </w:rPr>
        <w:t>- Строительство автозимника продленного действия  Анавгай - Палана на участке км 230- км 240;</w:t>
      </w:r>
    </w:p>
    <w:p w:rsidR="00212C11" w:rsidRPr="00212C11" w:rsidRDefault="00212C11" w:rsidP="00212C1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C11">
        <w:rPr>
          <w:rFonts w:ascii="Times New Roman" w:hAnsi="Times New Roman" w:cs="Times New Roman"/>
          <w:sz w:val="24"/>
          <w:szCs w:val="24"/>
        </w:rPr>
        <w:t xml:space="preserve"> -  Реконструкция автомобильной дороги Петропавловск-Камчатский - Мильково на участке км 152 – км 170;</w:t>
      </w:r>
    </w:p>
    <w:p w:rsidR="00212C11" w:rsidRPr="00212C11" w:rsidRDefault="00212C11" w:rsidP="00212C1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C11">
        <w:rPr>
          <w:rFonts w:ascii="Times New Roman" w:hAnsi="Times New Roman" w:cs="Times New Roman"/>
          <w:sz w:val="24"/>
          <w:szCs w:val="24"/>
        </w:rPr>
        <w:t xml:space="preserve"> - Реконструкция автомобильной дороги Петропавловск-Камчатский - Мильково на участке км 231 – км 249.</w:t>
      </w:r>
    </w:p>
    <w:p w:rsidR="00212C11" w:rsidRPr="00212C11" w:rsidRDefault="00212C11" w:rsidP="00212C1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C11">
        <w:rPr>
          <w:rFonts w:ascii="Times New Roman" w:hAnsi="Times New Roman" w:cs="Times New Roman"/>
          <w:sz w:val="24"/>
          <w:szCs w:val="24"/>
        </w:rPr>
        <w:t xml:space="preserve">В 2015 году на софинансирование мероприятий федеральных целевых программ, предусмотренных ФАИП, и реализацию краевых  инвестиционных мероприятий из бюджета края в 2015 году с учетом внесенных на 17.12.2015 года изменений предусмотрено 4 908,5 млн рублей.  </w:t>
      </w:r>
    </w:p>
    <w:p w:rsidR="00212C11" w:rsidRPr="00212C11" w:rsidRDefault="00212C11" w:rsidP="00212C1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C11">
        <w:rPr>
          <w:rFonts w:ascii="Times New Roman" w:hAnsi="Times New Roman" w:cs="Times New Roman"/>
          <w:sz w:val="24"/>
          <w:szCs w:val="24"/>
        </w:rPr>
        <w:t>За отчетный период объем финансирования из краевого бюджета составил        4 350, 5 млн рублей (88,6 % от предусмотренного объема на год).</w:t>
      </w:r>
    </w:p>
    <w:p w:rsidR="00DC6DAD" w:rsidRPr="00DC6DAD" w:rsidRDefault="00DC6DAD" w:rsidP="00DC6D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>Оборот розничной торговли за 2015 год по всем каналам реализации составил 51 431,3 млн рублей (97,2 % к уровню 2014 года в сопоставимых ценах). Снижение показателя обусловлено сокращением объемов продаж крупными и средними организациями розничной торговли в связи со снижением реальных денежных доходов и реальной заработной платы населения.</w:t>
      </w:r>
    </w:p>
    <w:p w:rsidR="00DC6DAD" w:rsidRPr="00DC6DAD" w:rsidRDefault="00DC6DAD" w:rsidP="00DC6D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>Оборот розничной торговли сформирован на 90,0 % торгующими организациями и индивидуальными предпринимателями, осуществляющими деятельность в стационарной торговой сети (46 216,6 млн рублей), что в сопоставимых ценах на 2,3 % ниже уровня 2014 года; доля продаж товаров на розничных рынках и ярмарках составил</w:t>
      </w:r>
      <w:r w:rsidR="00F80350">
        <w:rPr>
          <w:rFonts w:ascii="Times New Roman" w:hAnsi="Times New Roman" w:cs="Times New Roman"/>
          <w:sz w:val="24"/>
          <w:szCs w:val="24"/>
        </w:rPr>
        <w:t>а 10,0 % общего объема оборота </w:t>
      </w:r>
      <w:r w:rsidRPr="00DC6DAD">
        <w:rPr>
          <w:rFonts w:ascii="Times New Roman" w:hAnsi="Times New Roman" w:cs="Times New Roman"/>
          <w:sz w:val="24"/>
          <w:szCs w:val="24"/>
        </w:rPr>
        <w:t>(5 214,7 млн рублей), что соответствует 92,9 % в сопоставимых ценах 2014 года. </w:t>
      </w:r>
    </w:p>
    <w:p w:rsidR="00DC6DAD" w:rsidRPr="00DC6DAD" w:rsidRDefault="00DC6DAD" w:rsidP="00DC6D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 xml:space="preserve">Удельный вес пищевых продуктов, включая напитки и табачные изделия, в структуре оборота розничной торговли составил 61,6 %. Пищевых продуктов, включая напитки и табачные изделия, реализовано на сумму 31 676,6 млн рублей   (98,2 % к уровню 2014 года в сопоставимых ценах), непродовольственных товаров – на сумму </w:t>
      </w:r>
      <w:r w:rsidRPr="00DC6DAD">
        <w:rPr>
          <w:rFonts w:ascii="Times New Roman" w:hAnsi="Times New Roman" w:cs="Times New Roman"/>
          <w:sz w:val="24"/>
          <w:szCs w:val="24"/>
        </w:rPr>
        <w:lastRenderedPageBreak/>
        <w:t>19 754,7 млн рублей (95,8 % к уровню 2014 года в сопоставимых ценах).</w:t>
      </w:r>
    </w:p>
    <w:p w:rsidR="00DC6DAD" w:rsidRPr="00DC6DAD" w:rsidRDefault="00DC6DAD" w:rsidP="00DC6D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 xml:space="preserve">Оборот общественного питания в 2015 году составил 4 179,5 млн рублей (94,8 % к уровню 2014 года в сопоставимых ценах). </w:t>
      </w:r>
    </w:p>
    <w:p w:rsidR="00DC6DAD" w:rsidRPr="00DC6DAD" w:rsidRDefault="00DC6DAD" w:rsidP="00DC6D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>Платных услуг населению края оказано на 29 364,9 млн рублей (106, 4 % к уровню 2014 года в сопоставимых ценах). В структуре платных услуг населению преобладают услуги обязательного характера: жилищно-коммунальные, услуги транспорта и связи. Увеличение показателя произошло по транспортным услугам на 24,3 %, коммунальным и жилищным услугам на 5,3 % и 2,0 % соответственно.   </w:t>
      </w:r>
      <w:r w:rsidRPr="00DC6DAD">
        <w:rPr>
          <w:rFonts w:ascii="Times New Roman" w:hAnsi="Times New Roman" w:cs="Times New Roman"/>
          <w:sz w:val="24"/>
          <w:szCs w:val="24"/>
        </w:rPr>
        <w:tab/>
        <w:t>Удельный вес бытовых услуг в общем объеме платных услуг составил       5,0 %. За 2015 год населению края оказано бытовых услуг на 1 468,1 млн рублей (100,4 % в сопоставимых ценах к уровню 2014 года). Рост показателя произошел по следующим позициям: ремонт и строительство жилья и других построек, техническое обслуживание и ремонт транспортных средств, машин и оборудования, ритуальные услуги. </w:t>
      </w:r>
    </w:p>
    <w:p w:rsidR="00DC6DAD" w:rsidRPr="00DC6DAD" w:rsidRDefault="00DC6DAD" w:rsidP="00DC6D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>Объем перевезенного (отправленного) груза автомобильным транспортом составил 693,2 тыс. тонн (59,2 % к уровню 2014 года). Снижение показателя  произошло в связи с уменьшением количества договоров на оказание услуг по перевозке грузов автомобильным транспортом с крупными и средними предпринимателями в пользу субъектов малого предпринимательства и индивидуальных предпринимателей.</w:t>
      </w:r>
    </w:p>
    <w:p w:rsidR="00DC6DAD" w:rsidRPr="00DC6DAD" w:rsidRDefault="00DC6DAD" w:rsidP="00DC6D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>Объем перевезенного (отправленного) груза морским транспортом составил 448,7 тыс. тонн (85,4 % к уровню 2014 года). Снижение показателя обусловлено уменьшением перевозок груза в каботажном плавании, на долю которого приходится более 70,0 % всего объема перевозок.</w:t>
      </w:r>
    </w:p>
    <w:p w:rsidR="00DC6DAD" w:rsidRDefault="00DC6DAD" w:rsidP="00893C31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 xml:space="preserve">Число перевезенных пассажиров автомобильным транспортом составило 51 544,0 тыс. человек (100,0 % к соответствующему периоду 2014 года). </w:t>
      </w:r>
    </w:p>
    <w:p w:rsidR="00893C31" w:rsidRPr="00893C31" w:rsidRDefault="00893C31" w:rsidP="00893C31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C31">
        <w:rPr>
          <w:rFonts w:ascii="Times New Roman" w:hAnsi="Times New Roman" w:cs="Times New Roman"/>
          <w:sz w:val="24"/>
          <w:szCs w:val="24"/>
        </w:rPr>
        <w:t xml:space="preserve">По состоянию на 01.01.2016 г. дебиторская задолженность крупных и средних организаций Камчатского края по сравнению со значением предыдущего месяца снизилась до 91,8 % и составила 42 487,2 млн рублей. Доля просроченной дебиторской задолженности в общей ее сумме составила 25,8 %, к значению предыдущего месяца показатель понизился до 90,8 % и сложился в объеме 10 966,0 млн рублей. </w:t>
      </w:r>
    </w:p>
    <w:p w:rsidR="00893C31" w:rsidRPr="00893C31" w:rsidRDefault="00893C31" w:rsidP="00893C31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C31">
        <w:rPr>
          <w:rFonts w:ascii="Times New Roman" w:hAnsi="Times New Roman" w:cs="Times New Roman"/>
          <w:sz w:val="24"/>
          <w:szCs w:val="24"/>
        </w:rPr>
        <w:t>По сравнению с аналогичным периодом прошлого года сумма дебиторской задолженности возросла до 125,9 %, сумма просроченной дебиторской задолженности до 109,5 %.</w:t>
      </w:r>
    </w:p>
    <w:p w:rsidR="00893C31" w:rsidRPr="00893C31" w:rsidRDefault="00893C31" w:rsidP="00893C31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C31">
        <w:rPr>
          <w:rFonts w:ascii="Times New Roman" w:hAnsi="Times New Roman" w:cs="Times New Roman"/>
          <w:sz w:val="24"/>
          <w:szCs w:val="24"/>
        </w:rPr>
        <w:t xml:space="preserve">Кредиторская задолженность на 01.01.2016 г. по сравнению со значением предыдущего месяца снизилась до 91,8 % и составила 49 703,3 млн рублей. Удельный вес просроченной кредиторской задолженности в общем объеме задолженности составил 21,4 %, к значению предыдущего месяца показатель понизился до 85,9 %, суммарный показатель сложился в объеме – 10 635,3 млн рублей. </w:t>
      </w:r>
    </w:p>
    <w:p w:rsidR="00893C31" w:rsidRPr="00893C31" w:rsidRDefault="00893C31" w:rsidP="00893C31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C31">
        <w:rPr>
          <w:rFonts w:ascii="Times New Roman" w:hAnsi="Times New Roman" w:cs="Times New Roman"/>
          <w:sz w:val="24"/>
          <w:szCs w:val="24"/>
        </w:rPr>
        <w:t xml:space="preserve">По сравнению с аналогичным периодом прошлого года сумма кредиторской задолженности снизилась до 87,7 %, просроченной задолженности до </w:t>
      </w:r>
      <w:r w:rsidRPr="00893C31">
        <w:rPr>
          <w:rFonts w:ascii="Times New Roman" w:hAnsi="Times New Roman" w:cs="Times New Roman"/>
          <w:sz w:val="24"/>
          <w:szCs w:val="24"/>
        </w:rPr>
        <w:br/>
        <w:t>95,0 %.</w:t>
      </w:r>
    </w:p>
    <w:p w:rsidR="00893C31" w:rsidRPr="00893C31" w:rsidRDefault="00893C31" w:rsidP="00893C31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C31">
        <w:rPr>
          <w:rFonts w:ascii="Times New Roman" w:hAnsi="Times New Roman" w:cs="Times New Roman"/>
          <w:sz w:val="24"/>
          <w:szCs w:val="24"/>
        </w:rPr>
        <w:t xml:space="preserve">Сальдированный финансовый результат деятельности учтенного круга крупных и средних организаций Камчатского края за 2015 год сложился с прибылью в объеме 13 532,3 млн рублей. Прибыль прибыльных организаций составила 18 581,5 млн рублей или 275,8 % относительно показателя 2014 года. </w:t>
      </w:r>
    </w:p>
    <w:p w:rsidR="00893C31" w:rsidRPr="00893C31" w:rsidRDefault="00893C31" w:rsidP="00893C31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C31">
        <w:rPr>
          <w:rFonts w:ascii="Times New Roman" w:hAnsi="Times New Roman" w:cs="Times New Roman"/>
          <w:sz w:val="24"/>
          <w:szCs w:val="24"/>
        </w:rPr>
        <w:t>Положительный сальдированный результат получен в целом по следующим видам деятельности: «рыболовство, рыбоводство» – 7 764,9 млн рублей, рост в</w:t>
      </w:r>
      <w:r w:rsidRPr="00893C31">
        <w:rPr>
          <w:rFonts w:ascii="Times New Roman" w:hAnsi="Times New Roman" w:cs="Times New Roman"/>
          <w:sz w:val="24"/>
          <w:szCs w:val="24"/>
        </w:rPr>
        <w:br/>
        <w:t xml:space="preserve">3,3 раза относительно показателя 2014 года; «обрабатывающие производства» – 6 528,8 млн рублей, рост в 10,5 раз; «добыча полезных ископаемых» – 1 167,9 млн рублей; «оптовая и розничная торговля; ремонт автотранспортных средств, мотоциклов, бытовых изделий личного пользования» – 905,9 млн рублей или 88,1 % относительно  показателя 2014 года; </w:t>
      </w:r>
      <w:r w:rsidRPr="00893C31">
        <w:rPr>
          <w:rFonts w:ascii="Times New Roman" w:hAnsi="Times New Roman" w:cs="Times New Roman"/>
          <w:sz w:val="24"/>
          <w:szCs w:val="24"/>
        </w:rPr>
        <w:lastRenderedPageBreak/>
        <w:t>«сельское хозяйство, охота и лесное хозяйство» – 238,4 млн рублей, рост в 1,6 раза относительно показателя 2014 года.</w:t>
      </w:r>
    </w:p>
    <w:p w:rsidR="00893C31" w:rsidRPr="00893C31" w:rsidRDefault="00893C31" w:rsidP="00893C31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C31">
        <w:rPr>
          <w:rFonts w:ascii="Times New Roman" w:hAnsi="Times New Roman" w:cs="Times New Roman"/>
          <w:sz w:val="24"/>
          <w:szCs w:val="24"/>
        </w:rPr>
        <w:t xml:space="preserve"> Сальдированный убыток сложился по видам  деятельности: «строительство» -2 136,5 млн рублей; «производство и распределение электроэнергии, газа и воды» – 713,4 млн рублей; «транспорт и связь» – 319,7 млн рублей. </w:t>
      </w:r>
    </w:p>
    <w:p w:rsidR="00893C31" w:rsidRPr="00893C31" w:rsidRDefault="00893C31" w:rsidP="00893C31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C31">
        <w:rPr>
          <w:rFonts w:ascii="Times New Roman" w:hAnsi="Times New Roman" w:cs="Times New Roman"/>
          <w:sz w:val="24"/>
          <w:szCs w:val="24"/>
        </w:rPr>
        <w:t>Удельный вес убыточных организаций в общем числе организаций составил 33,3 % от их общего числа. Из них по основным видам деятельности: «строительство» – 66,7 %; «транспорт и связь» – 53,9 %; «производство и распределение электроэнергии, газа и воды» – 47,1 %; «сельское хозяйство, охота и лесное хозяйство» – 42,9 %; «добыча полезных ископаемых» – 40,0 %; «рыболовство, рыбоводство» – 15,4 %;  «обрабатывающие производства» – 9,1 %; «оптовая и розничная торговля; ремонт автотранспортных средств, мотоциклов, бытовых изделий личного пользования» – 8,0 %.</w:t>
      </w:r>
    </w:p>
    <w:p w:rsidR="00DC6DAD" w:rsidRPr="00DC6DAD" w:rsidRDefault="00DC6DAD" w:rsidP="00DC6D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>Индекс потребительских цен  в декабре 2015 года составил 101,3 % относительно ноября 2015 года и 112,6 % относительно декабря 2014 года.</w:t>
      </w:r>
    </w:p>
    <w:p w:rsidR="00DC6DAD" w:rsidRPr="00DC6DAD" w:rsidRDefault="00DC6DAD" w:rsidP="00DC6D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>Повышение цен на продовольственные товары составило 100,9 % относительно ноября 2015 года, относительно декабря 2014 года – 114,8 %.</w:t>
      </w:r>
    </w:p>
    <w:p w:rsidR="00DC6DAD" w:rsidRPr="00DC6DAD" w:rsidRDefault="00DC6DAD" w:rsidP="00DC6D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DAD">
        <w:rPr>
          <w:rFonts w:ascii="Times New Roman" w:hAnsi="Times New Roman" w:cs="Times New Roman"/>
          <w:sz w:val="24"/>
          <w:szCs w:val="24"/>
        </w:rPr>
        <w:t>Индекс цен на платные услуги в декабре 2015 года к предыдущему месяцу составил 101,8 %, относительно декабря 2014 года – 108,8 %.</w:t>
      </w:r>
    </w:p>
    <w:p w:rsidR="005A73F1" w:rsidRPr="00B97815" w:rsidRDefault="005A73F1" w:rsidP="00C568FE">
      <w:pPr>
        <w:spacing w:after="0"/>
        <w:ind w:firstLine="709"/>
        <w:rPr>
          <w:rFonts w:ascii="Times New Roman" w:hAnsi="Times New Roman" w:cs="Times New Roman"/>
          <w:i/>
          <w:color w:val="C00000"/>
          <w:sz w:val="24"/>
          <w:szCs w:val="24"/>
        </w:rPr>
      </w:pPr>
    </w:p>
    <w:p w:rsidR="00EE4328" w:rsidRPr="00893C31" w:rsidRDefault="00EE4328" w:rsidP="00893C31">
      <w:pPr>
        <w:spacing w:after="12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893C31">
        <w:rPr>
          <w:rFonts w:ascii="Times New Roman" w:hAnsi="Times New Roman" w:cs="Times New Roman"/>
          <w:b/>
          <w:i/>
          <w:sz w:val="24"/>
          <w:szCs w:val="24"/>
        </w:rPr>
        <w:t>Социальная сфера.</w:t>
      </w:r>
    </w:p>
    <w:p w:rsidR="00F80350" w:rsidRPr="00F80350" w:rsidRDefault="00F80350" w:rsidP="00F803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350">
        <w:rPr>
          <w:rFonts w:ascii="Times New Roman" w:hAnsi="Times New Roman" w:cs="Times New Roman"/>
          <w:sz w:val="24"/>
          <w:szCs w:val="24"/>
        </w:rPr>
        <w:t xml:space="preserve">Реальные денежные доходы сложились на уровне 94,9 % к уровню 2014 года. Основной причиной снижения реальных денежных доходов является высокий индекс  потребительских цен. Реальные располагаемые денежные доходы составили 98,9 %. </w:t>
      </w:r>
    </w:p>
    <w:p w:rsidR="00F80350" w:rsidRPr="00F80350" w:rsidRDefault="00F80350" w:rsidP="00F803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350">
        <w:rPr>
          <w:rFonts w:ascii="Times New Roman" w:hAnsi="Times New Roman" w:cs="Times New Roman"/>
          <w:sz w:val="24"/>
          <w:szCs w:val="24"/>
        </w:rPr>
        <w:t xml:space="preserve">Размер среднедушевого дохода составил 37 447,0 рублей, что  составляет 106,5 % относительно уровня 2014 года. </w:t>
      </w:r>
    </w:p>
    <w:p w:rsidR="00F80350" w:rsidRPr="00F80350" w:rsidRDefault="00F80350" w:rsidP="00F803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350">
        <w:rPr>
          <w:rFonts w:ascii="Times New Roman" w:hAnsi="Times New Roman" w:cs="Times New Roman"/>
          <w:sz w:val="24"/>
          <w:szCs w:val="24"/>
        </w:rPr>
        <w:t xml:space="preserve">Соотношение среднедушевого денежного дохода с величиной прожиточного минимума всего населения определяется значением 207,8 %. </w:t>
      </w:r>
    </w:p>
    <w:p w:rsidR="00F80350" w:rsidRPr="00F80350" w:rsidRDefault="00F80350" w:rsidP="00F803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350">
        <w:rPr>
          <w:rFonts w:ascii="Times New Roman" w:hAnsi="Times New Roman" w:cs="Times New Roman"/>
          <w:sz w:val="24"/>
          <w:szCs w:val="24"/>
        </w:rPr>
        <w:t xml:space="preserve">Потребительские расходы сложились в размере 22 657,7 рублей в среднем на душу населения, с ростом к  уровню 2014 года  на 8,7 %. На цели потребления населением направлено 60,5 % среднедушевого дохода. </w:t>
      </w:r>
    </w:p>
    <w:p w:rsidR="00F80350" w:rsidRPr="00F80350" w:rsidRDefault="00F80350" w:rsidP="00F803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350">
        <w:rPr>
          <w:rFonts w:ascii="Times New Roman" w:hAnsi="Times New Roman" w:cs="Times New Roman"/>
          <w:sz w:val="24"/>
          <w:szCs w:val="24"/>
        </w:rPr>
        <w:t xml:space="preserve">Среднемесячная номинальная начисленная заработная плата одного работника, по оперативным данным Камчатстата, за 2015 год составила 56 482,9 рублей (рост к уровню 2014 года составил 107,6 %); реальная заработная плата составила 95,9 %.  </w:t>
      </w:r>
    </w:p>
    <w:p w:rsidR="00F80350" w:rsidRPr="00F80350" w:rsidRDefault="00F80350" w:rsidP="00F80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350">
        <w:rPr>
          <w:rFonts w:ascii="Times New Roman" w:hAnsi="Times New Roman" w:cs="Times New Roman"/>
          <w:sz w:val="24"/>
          <w:szCs w:val="24"/>
        </w:rPr>
        <w:t>Просроченная задолженность по заработной плате по состоянию на 1 января 2015 года составила 63,2 млн рублей, что выше аналогичного показателя 2015 года в 15,2 раз.</w:t>
      </w:r>
    </w:p>
    <w:p w:rsidR="00F80350" w:rsidRPr="00F80350" w:rsidRDefault="00F80350" w:rsidP="00F80350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350">
        <w:rPr>
          <w:rFonts w:ascii="Times New Roman" w:hAnsi="Times New Roman" w:cs="Times New Roman"/>
          <w:sz w:val="24"/>
          <w:szCs w:val="24"/>
        </w:rPr>
        <w:t xml:space="preserve">Задолженность по заработной плате на 100 % образована из-за отсутствия собственных средств: ФГУП «Октябрьское» – 5,8 млн рублей,  ФГУП «Усть-Камчатский морской торговый порт» - 2,9 млн рублей, ОАО «Камчатжилстрой» - 24,8 млн рублей, ОАО «Петропавловская судоверфь» - 29,7 млн рублей. </w:t>
      </w:r>
    </w:p>
    <w:p w:rsidR="00F80350" w:rsidRPr="00F80350" w:rsidRDefault="00F80350" w:rsidP="00F80350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350">
        <w:rPr>
          <w:rFonts w:ascii="Times New Roman" w:hAnsi="Times New Roman" w:cs="Times New Roman"/>
          <w:sz w:val="24"/>
          <w:szCs w:val="24"/>
        </w:rPr>
        <w:t xml:space="preserve">Численность работников, перед которыми имеется просроченная задолженность по заработной плате, составляет 653 человека. </w:t>
      </w:r>
    </w:p>
    <w:p w:rsidR="00F80350" w:rsidRPr="00F80350" w:rsidRDefault="00F80350" w:rsidP="00F80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350">
        <w:rPr>
          <w:rFonts w:ascii="Times New Roman" w:hAnsi="Times New Roman" w:cs="Times New Roman"/>
          <w:sz w:val="24"/>
          <w:szCs w:val="24"/>
        </w:rPr>
        <w:t>Ситуация с погашением задолженности по заработной плате находится на постоянном контроле Правительства Камчатского края.</w:t>
      </w:r>
    </w:p>
    <w:p w:rsidR="00F80350" w:rsidRPr="00F80350" w:rsidRDefault="00F80350" w:rsidP="00F80350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350">
        <w:rPr>
          <w:rFonts w:ascii="Times New Roman" w:hAnsi="Times New Roman" w:cs="Times New Roman"/>
          <w:sz w:val="24"/>
          <w:szCs w:val="24"/>
        </w:rPr>
        <w:t xml:space="preserve">Численность незанятых трудовой деятельностью граждан, обратившихся в государственные учреждения службы занятости, на конец декабря 2015 года составила 3,8 тыс. человек (110,5 % к аналогичной дате 2014 года). </w:t>
      </w:r>
    </w:p>
    <w:p w:rsidR="00F80350" w:rsidRPr="00F80350" w:rsidRDefault="00F80350" w:rsidP="00F80350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350">
        <w:rPr>
          <w:rFonts w:ascii="Times New Roman" w:hAnsi="Times New Roman" w:cs="Times New Roman"/>
          <w:sz w:val="24"/>
          <w:szCs w:val="24"/>
        </w:rPr>
        <w:t xml:space="preserve">Численность официально зарегистрированных безработных составила 3,2 тыс. человек (110,5 % к аналогичной дате 2014 года), уровень регистрируемой безработицы – 1,7 %. </w:t>
      </w:r>
    </w:p>
    <w:p w:rsidR="00F80350" w:rsidRPr="00F80350" w:rsidRDefault="00F80350" w:rsidP="00F80350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350">
        <w:rPr>
          <w:rFonts w:ascii="Times New Roman" w:hAnsi="Times New Roman" w:cs="Times New Roman"/>
          <w:sz w:val="24"/>
          <w:szCs w:val="24"/>
        </w:rPr>
        <w:t>Заявленная предприятиями потребность в работниках на конец периода составила 6,5 тыс. человек. Напряженность на рынке труда – 0,5 человек на 1 заявленную работодателями вакансию.</w:t>
      </w:r>
    </w:p>
    <w:p w:rsidR="00F80350" w:rsidRPr="00F80350" w:rsidRDefault="00F80350" w:rsidP="00F80350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350">
        <w:rPr>
          <w:rFonts w:ascii="Times New Roman" w:hAnsi="Times New Roman" w:cs="Times New Roman"/>
          <w:sz w:val="24"/>
          <w:szCs w:val="24"/>
        </w:rPr>
        <w:lastRenderedPageBreak/>
        <w:t>Численность безработных, рассчитанная по методологии МОТ, составила 8,8 тыс. человек (83,0 % к аналогичной дате 2014 года).</w:t>
      </w:r>
    </w:p>
    <w:p w:rsidR="00F80350" w:rsidRPr="00F80350" w:rsidRDefault="00F80350" w:rsidP="00F803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350">
        <w:rPr>
          <w:rFonts w:ascii="Times New Roman" w:hAnsi="Times New Roman" w:cs="Times New Roman"/>
          <w:sz w:val="24"/>
          <w:szCs w:val="24"/>
        </w:rPr>
        <w:t xml:space="preserve">Величина прожиточного минимума, сложившаяся в Камчатском крае за 4 квартал 2015 года  в расчете на душу населения, составила 18 427 рублей (для трудоспособного населения – 19 173 рублей, для пенсионеров – 14 655 рублей, для детей – 19 733 рублей). </w:t>
      </w:r>
    </w:p>
    <w:p w:rsidR="00F80350" w:rsidRPr="00F80350" w:rsidRDefault="00F80350" w:rsidP="00F80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350">
        <w:rPr>
          <w:rFonts w:ascii="Times New Roman" w:hAnsi="Times New Roman" w:cs="Times New Roman"/>
          <w:sz w:val="24"/>
          <w:szCs w:val="24"/>
        </w:rPr>
        <w:t>Стоимость минимального набора продуктов питания в декабре 2015 года составила 5 838,1 рублей, что составляет 115,5 % по отношению к декабрю 2014 года.</w:t>
      </w:r>
    </w:p>
    <w:p w:rsidR="00F80350" w:rsidRPr="00F80350" w:rsidRDefault="00F80350" w:rsidP="00F80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350">
        <w:rPr>
          <w:rFonts w:ascii="Times New Roman" w:hAnsi="Times New Roman" w:cs="Times New Roman"/>
          <w:sz w:val="24"/>
          <w:szCs w:val="24"/>
        </w:rPr>
        <w:t>Демографическая ситуация в Камчатском крае развивается под влиянием сложившейся динамики рождаемости, смертности и миграции населения.</w:t>
      </w:r>
    </w:p>
    <w:p w:rsidR="00F80350" w:rsidRPr="00F80350" w:rsidRDefault="00F80350" w:rsidP="00F80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350">
        <w:rPr>
          <w:rFonts w:ascii="Times New Roman" w:hAnsi="Times New Roman" w:cs="Times New Roman"/>
          <w:sz w:val="24"/>
          <w:szCs w:val="24"/>
        </w:rPr>
        <w:t>Численность постоянного населения Камчатского края по состоянию на 1 января 2016 года составила 316,5 тыс. человек.</w:t>
      </w:r>
    </w:p>
    <w:p w:rsidR="00F80350" w:rsidRPr="00F80350" w:rsidRDefault="00F80350" w:rsidP="00F80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350">
        <w:rPr>
          <w:rFonts w:ascii="Times New Roman" w:hAnsi="Times New Roman" w:cs="Times New Roman"/>
          <w:sz w:val="24"/>
          <w:szCs w:val="24"/>
        </w:rPr>
        <w:t>Естественный прирост населения за 2015 год составил 525 человек. Родилось 4 150 малышей (98,4 % к уровню 2014 года). Среднегодовой коэффициент рождаемости составил 13,1 промилле (2014 года – 13,2). Умерло 3 625 человек (98,4 % к уровню 2014 года). Среднегодовой коэффициент смертности составил 11,4 промилле (2014 год – 11,6).</w:t>
      </w:r>
    </w:p>
    <w:p w:rsidR="00F80350" w:rsidRPr="00F80350" w:rsidRDefault="00F80350" w:rsidP="00F80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350">
        <w:rPr>
          <w:rFonts w:ascii="Times New Roman" w:hAnsi="Times New Roman" w:cs="Times New Roman"/>
          <w:sz w:val="24"/>
          <w:szCs w:val="24"/>
        </w:rPr>
        <w:t xml:space="preserve">Число детей, умерших в возрасте до 1 года, составило 38 человек (2014 год – 44). Среднегодовой коэффициент умерших в возрасте до 1 года – 9,2 промилле (2014 год – 10,4 промилле). </w:t>
      </w:r>
    </w:p>
    <w:p w:rsidR="00F80350" w:rsidRPr="00F80350" w:rsidRDefault="00F80350" w:rsidP="00F80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350">
        <w:rPr>
          <w:rFonts w:ascii="Times New Roman" w:hAnsi="Times New Roman" w:cs="Times New Roman"/>
          <w:sz w:val="24"/>
          <w:szCs w:val="24"/>
        </w:rPr>
        <w:t>Основной причиной смертности детей до 1 года являются отдельные состояния, возникающие в перинатальный период.</w:t>
      </w:r>
    </w:p>
    <w:p w:rsidR="00F80350" w:rsidRPr="00F80350" w:rsidRDefault="00F80350" w:rsidP="00F80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350">
        <w:rPr>
          <w:rFonts w:ascii="Times New Roman" w:hAnsi="Times New Roman" w:cs="Times New Roman"/>
          <w:sz w:val="24"/>
          <w:szCs w:val="24"/>
        </w:rPr>
        <w:t>Миграционная убыль за 2015 год составила – 1 314 человек (за 2014 год –  3 122 человека).</w:t>
      </w:r>
    </w:p>
    <w:p w:rsidR="00F80350" w:rsidRPr="00F80350" w:rsidRDefault="00F80350" w:rsidP="00F80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350">
        <w:rPr>
          <w:rFonts w:ascii="Times New Roman" w:hAnsi="Times New Roman" w:cs="Times New Roman"/>
          <w:sz w:val="24"/>
          <w:szCs w:val="24"/>
        </w:rPr>
        <w:t>Число прибывших в результате миграционного обмена населением составило  13</w:t>
      </w:r>
      <w:r w:rsidR="00275DBD">
        <w:rPr>
          <w:rFonts w:ascii="Times New Roman" w:hAnsi="Times New Roman" w:cs="Times New Roman"/>
          <w:sz w:val="24"/>
          <w:szCs w:val="24"/>
        </w:rPr>
        <w:t> </w:t>
      </w:r>
      <w:r w:rsidRPr="00F80350">
        <w:rPr>
          <w:rFonts w:ascii="Times New Roman" w:hAnsi="Times New Roman" w:cs="Times New Roman"/>
          <w:sz w:val="24"/>
          <w:szCs w:val="24"/>
        </w:rPr>
        <w:t xml:space="preserve">441 человек (101,5 % к 2014 году). </w:t>
      </w:r>
    </w:p>
    <w:p w:rsidR="00F80350" w:rsidRPr="00F80350" w:rsidRDefault="00F80350" w:rsidP="00F80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350">
        <w:rPr>
          <w:rFonts w:ascii="Times New Roman" w:hAnsi="Times New Roman" w:cs="Times New Roman"/>
          <w:sz w:val="24"/>
          <w:szCs w:val="24"/>
        </w:rPr>
        <w:t xml:space="preserve">Число выбывших составило 14 755 человек или 90,2 % относительно 2014 года. </w:t>
      </w:r>
    </w:p>
    <w:p w:rsidR="00F80350" w:rsidRPr="00F80350" w:rsidRDefault="00F80350" w:rsidP="00F80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350">
        <w:rPr>
          <w:rFonts w:ascii="Times New Roman" w:hAnsi="Times New Roman" w:cs="Times New Roman"/>
          <w:sz w:val="24"/>
          <w:szCs w:val="24"/>
        </w:rPr>
        <w:t>Общий миграционный оборот (сумма прибытий и выбытий) составил 28 196 человек, коэффициент миграционной убыли – 4,2 промилле.</w:t>
      </w:r>
    </w:p>
    <w:p w:rsidR="00A0571A" w:rsidRPr="00F80350" w:rsidRDefault="00A0571A" w:rsidP="00C568F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A0571A" w:rsidRPr="00F80350" w:rsidSect="00266DFA">
      <w:headerReference w:type="default" r:id="rId9"/>
      <w:pgSz w:w="11906" w:h="16838"/>
      <w:pgMar w:top="709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4A0" w:rsidRDefault="000524A0" w:rsidP="00791052">
      <w:pPr>
        <w:spacing w:after="0" w:line="240" w:lineRule="auto"/>
      </w:pPr>
      <w:r>
        <w:separator/>
      </w:r>
    </w:p>
  </w:endnote>
  <w:endnote w:type="continuationSeparator" w:id="0">
    <w:p w:rsidR="000524A0" w:rsidRDefault="000524A0" w:rsidP="00791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4A0" w:rsidRDefault="000524A0" w:rsidP="00791052">
      <w:pPr>
        <w:spacing w:after="0" w:line="240" w:lineRule="auto"/>
      </w:pPr>
      <w:r>
        <w:separator/>
      </w:r>
    </w:p>
  </w:footnote>
  <w:footnote w:type="continuationSeparator" w:id="0">
    <w:p w:rsidR="000524A0" w:rsidRDefault="000524A0" w:rsidP="00791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253128"/>
      <w:docPartObj>
        <w:docPartGallery w:val="Page Numbers (Top of Page)"/>
        <w:docPartUnique/>
      </w:docPartObj>
    </w:sdtPr>
    <w:sdtEndPr/>
    <w:sdtContent>
      <w:p w:rsidR="00A45CC4" w:rsidRDefault="00A45CC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DDB">
          <w:rPr>
            <w:noProof/>
          </w:rPr>
          <w:t>2</w:t>
        </w:r>
        <w:r>
          <w:fldChar w:fldCharType="end"/>
        </w:r>
      </w:p>
    </w:sdtContent>
  </w:sdt>
  <w:p w:rsidR="00A45CC4" w:rsidRDefault="00A45CC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20177"/>
    <w:multiLevelType w:val="hybridMultilevel"/>
    <w:tmpl w:val="48DED7AA"/>
    <w:lvl w:ilvl="0" w:tplc="3B045042">
      <w:start w:val="2014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98E639C"/>
    <w:multiLevelType w:val="hybridMultilevel"/>
    <w:tmpl w:val="9B56DDA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B0D"/>
    <w:rsid w:val="00002F5A"/>
    <w:rsid w:val="00006EA2"/>
    <w:rsid w:val="00014770"/>
    <w:rsid w:val="00022C1F"/>
    <w:rsid w:val="00024938"/>
    <w:rsid w:val="00036663"/>
    <w:rsid w:val="000379CE"/>
    <w:rsid w:val="000524A0"/>
    <w:rsid w:val="00054108"/>
    <w:rsid w:val="000557CB"/>
    <w:rsid w:val="00062519"/>
    <w:rsid w:val="00065281"/>
    <w:rsid w:val="0007606B"/>
    <w:rsid w:val="000855EC"/>
    <w:rsid w:val="000918A9"/>
    <w:rsid w:val="0009346A"/>
    <w:rsid w:val="000E3C90"/>
    <w:rsid w:val="000E5E2A"/>
    <w:rsid w:val="000E69B6"/>
    <w:rsid w:val="000F3DDB"/>
    <w:rsid w:val="000F6760"/>
    <w:rsid w:val="00114F00"/>
    <w:rsid w:val="001411EC"/>
    <w:rsid w:val="00152B64"/>
    <w:rsid w:val="0015758C"/>
    <w:rsid w:val="00162314"/>
    <w:rsid w:val="00170ABF"/>
    <w:rsid w:val="00174908"/>
    <w:rsid w:val="00191B9D"/>
    <w:rsid w:val="00194F3F"/>
    <w:rsid w:val="001A413C"/>
    <w:rsid w:val="001A489C"/>
    <w:rsid w:val="001A5E81"/>
    <w:rsid w:val="001A6475"/>
    <w:rsid w:val="001A7CCE"/>
    <w:rsid w:val="001D730A"/>
    <w:rsid w:val="001E1A5B"/>
    <w:rsid w:val="001E4363"/>
    <w:rsid w:val="001E53B5"/>
    <w:rsid w:val="001F4AB9"/>
    <w:rsid w:val="0020567D"/>
    <w:rsid w:val="00212C11"/>
    <w:rsid w:val="00231B05"/>
    <w:rsid w:val="00236022"/>
    <w:rsid w:val="00242385"/>
    <w:rsid w:val="002626A2"/>
    <w:rsid w:val="00266DFA"/>
    <w:rsid w:val="00275DBD"/>
    <w:rsid w:val="00281D08"/>
    <w:rsid w:val="00283469"/>
    <w:rsid w:val="00283DEA"/>
    <w:rsid w:val="00286531"/>
    <w:rsid w:val="002A29C1"/>
    <w:rsid w:val="002A7F9C"/>
    <w:rsid w:val="002B27F7"/>
    <w:rsid w:val="002B7BCE"/>
    <w:rsid w:val="002C095D"/>
    <w:rsid w:val="002D1BCB"/>
    <w:rsid w:val="00301508"/>
    <w:rsid w:val="00304135"/>
    <w:rsid w:val="0032145D"/>
    <w:rsid w:val="00321AF3"/>
    <w:rsid w:val="00333D67"/>
    <w:rsid w:val="003348AE"/>
    <w:rsid w:val="00340DEA"/>
    <w:rsid w:val="003426A7"/>
    <w:rsid w:val="0035040B"/>
    <w:rsid w:val="00352F8C"/>
    <w:rsid w:val="0035592E"/>
    <w:rsid w:val="003728E4"/>
    <w:rsid w:val="00375542"/>
    <w:rsid w:val="003A7C90"/>
    <w:rsid w:val="003B171D"/>
    <w:rsid w:val="003C07BF"/>
    <w:rsid w:val="003D4549"/>
    <w:rsid w:val="003F1141"/>
    <w:rsid w:val="003F5546"/>
    <w:rsid w:val="003F58BA"/>
    <w:rsid w:val="00403F57"/>
    <w:rsid w:val="00422A26"/>
    <w:rsid w:val="00425AAA"/>
    <w:rsid w:val="00432B3D"/>
    <w:rsid w:val="00466DA3"/>
    <w:rsid w:val="00467670"/>
    <w:rsid w:val="004751A6"/>
    <w:rsid w:val="004A6EF5"/>
    <w:rsid w:val="004E5621"/>
    <w:rsid w:val="004F211B"/>
    <w:rsid w:val="005002E9"/>
    <w:rsid w:val="005107C0"/>
    <w:rsid w:val="00510868"/>
    <w:rsid w:val="005168E0"/>
    <w:rsid w:val="00533141"/>
    <w:rsid w:val="00550D25"/>
    <w:rsid w:val="00551028"/>
    <w:rsid w:val="00553C13"/>
    <w:rsid w:val="00553E7F"/>
    <w:rsid w:val="005714C5"/>
    <w:rsid w:val="00585294"/>
    <w:rsid w:val="005853CF"/>
    <w:rsid w:val="0058763E"/>
    <w:rsid w:val="00595FF2"/>
    <w:rsid w:val="00596DBB"/>
    <w:rsid w:val="005A6B1A"/>
    <w:rsid w:val="005A73F1"/>
    <w:rsid w:val="005B2026"/>
    <w:rsid w:val="005B46A6"/>
    <w:rsid w:val="005B730B"/>
    <w:rsid w:val="005C62A0"/>
    <w:rsid w:val="005C638C"/>
    <w:rsid w:val="005C65F5"/>
    <w:rsid w:val="005D2104"/>
    <w:rsid w:val="005E3A9A"/>
    <w:rsid w:val="005E456D"/>
    <w:rsid w:val="006032A4"/>
    <w:rsid w:val="00603BF8"/>
    <w:rsid w:val="0061196E"/>
    <w:rsid w:val="006200E4"/>
    <w:rsid w:val="006253B8"/>
    <w:rsid w:val="00633D5E"/>
    <w:rsid w:val="00636899"/>
    <w:rsid w:val="00651B10"/>
    <w:rsid w:val="0065549E"/>
    <w:rsid w:val="00656324"/>
    <w:rsid w:val="00656A79"/>
    <w:rsid w:val="00656CB4"/>
    <w:rsid w:val="006730D4"/>
    <w:rsid w:val="0068171D"/>
    <w:rsid w:val="00683D01"/>
    <w:rsid w:val="006852F7"/>
    <w:rsid w:val="00690AE1"/>
    <w:rsid w:val="00691327"/>
    <w:rsid w:val="006A0821"/>
    <w:rsid w:val="006A65C4"/>
    <w:rsid w:val="006B53F5"/>
    <w:rsid w:val="006B70F1"/>
    <w:rsid w:val="006C0BC0"/>
    <w:rsid w:val="006C5E0A"/>
    <w:rsid w:val="006C6DB2"/>
    <w:rsid w:val="006F01E5"/>
    <w:rsid w:val="00700265"/>
    <w:rsid w:val="007108B0"/>
    <w:rsid w:val="00717EA8"/>
    <w:rsid w:val="00736FBD"/>
    <w:rsid w:val="00746409"/>
    <w:rsid w:val="00756819"/>
    <w:rsid w:val="00766EA4"/>
    <w:rsid w:val="00791052"/>
    <w:rsid w:val="00793338"/>
    <w:rsid w:val="007A1E53"/>
    <w:rsid w:val="007F2241"/>
    <w:rsid w:val="00805E9A"/>
    <w:rsid w:val="00815937"/>
    <w:rsid w:val="0082372A"/>
    <w:rsid w:val="008319E9"/>
    <w:rsid w:val="008466E8"/>
    <w:rsid w:val="00850347"/>
    <w:rsid w:val="00851350"/>
    <w:rsid w:val="0085596B"/>
    <w:rsid w:val="00855CA0"/>
    <w:rsid w:val="00857DEB"/>
    <w:rsid w:val="008645B6"/>
    <w:rsid w:val="00882431"/>
    <w:rsid w:val="00884A8C"/>
    <w:rsid w:val="00893C31"/>
    <w:rsid w:val="008945F0"/>
    <w:rsid w:val="00894D7A"/>
    <w:rsid w:val="008B156A"/>
    <w:rsid w:val="008C1E0F"/>
    <w:rsid w:val="008D1C79"/>
    <w:rsid w:val="008E332B"/>
    <w:rsid w:val="009007CD"/>
    <w:rsid w:val="00911438"/>
    <w:rsid w:val="009115C1"/>
    <w:rsid w:val="009221FD"/>
    <w:rsid w:val="009303C7"/>
    <w:rsid w:val="00956F7D"/>
    <w:rsid w:val="00965E6F"/>
    <w:rsid w:val="00971137"/>
    <w:rsid w:val="009731FC"/>
    <w:rsid w:val="00975E8E"/>
    <w:rsid w:val="00976F67"/>
    <w:rsid w:val="00981FAE"/>
    <w:rsid w:val="009826EF"/>
    <w:rsid w:val="00983E99"/>
    <w:rsid w:val="009856E7"/>
    <w:rsid w:val="009C4E3E"/>
    <w:rsid w:val="009C73C1"/>
    <w:rsid w:val="009D3910"/>
    <w:rsid w:val="009D414C"/>
    <w:rsid w:val="009D4936"/>
    <w:rsid w:val="009D6D2C"/>
    <w:rsid w:val="009E0A90"/>
    <w:rsid w:val="009E0C1F"/>
    <w:rsid w:val="009E68BB"/>
    <w:rsid w:val="009E756A"/>
    <w:rsid w:val="009F168C"/>
    <w:rsid w:val="00A0571A"/>
    <w:rsid w:val="00A101B8"/>
    <w:rsid w:val="00A1071C"/>
    <w:rsid w:val="00A20BEB"/>
    <w:rsid w:val="00A239C5"/>
    <w:rsid w:val="00A34E0F"/>
    <w:rsid w:val="00A4436E"/>
    <w:rsid w:val="00A45CC4"/>
    <w:rsid w:val="00A538A4"/>
    <w:rsid w:val="00A54902"/>
    <w:rsid w:val="00A805CC"/>
    <w:rsid w:val="00A80656"/>
    <w:rsid w:val="00AB7195"/>
    <w:rsid w:val="00AB79DD"/>
    <w:rsid w:val="00AC295E"/>
    <w:rsid w:val="00AC4B94"/>
    <w:rsid w:val="00AC5B6D"/>
    <w:rsid w:val="00AD40F9"/>
    <w:rsid w:val="00AE1ABE"/>
    <w:rsid w:val="00AE5CF5"/>
    <w:rsid w:val="00AE6909"/>
    <w:rsid w:val="00AE6E89"/>
    <w:rsid w:val="00AF396C"/>
    <w:rsid w:val="00B07BEE"/>
    <w:rsid w:val="00B16DC6"/>
    <w:rsid w:val="00B217DD"/>
    <w:rsid w:val="00B23E14"/>
    <w:rsid w:val="00B25F87"/>
    <w:rsid w:val="00B27E26"/>
    <w:rsid w:val="00B405F0"/>
    <w:rsid w:val="00B46160"/>
    <w:rsid w:val="00B52F6C"/>
    <w:rsid w:val="00B6083B"/>
    <w:rsid w:val="00B61645"/>
    <w:rsid w:val="00B664D3"/>
    <w:rsid w:val="00B7241C"/>
    <w:rsid w:val="00B733FA"/>
    <w:rsid w:val="00B90D0D"/>
    <w:rsid w:val="00B92704"/>
    <w:rsid w:val="00B944D1"/>
    <w:rsid w:val="00B97815"/>
    <w:rsid w:val="00BA185C"/>
    <w:rsid w:val="00BA403E"/>
    <w:rsid w:val="00BB1744"/>
    <w:rsid w:val="00BB3292"/>
    <w:rsid w:val="00BB3BD7"/>
    <w:rsid w:val="00BB671E"/>
    <w:rsid w:val="00BE3944"/>
    <w:rsid w:val="00BE4C2C"/>
    <w:rsid w:val="00BE7158"/>
    <w:rsid w:val="00C06AB2"/>
    <w:rsid w:val="00C23877"/>
    <w:rsid w:val="00C345A1"/>
    <w:rsid w:val="00C36BA9"/>
    <w:rsid w:val="00C46E9D"/>
    <w:rsid w:val="00C5663A"/>
    <w:rsid w:val="00C568FE"/>
    <w:rsid w:val="00C60320"/>
    <w:rsid w:val="00C63C6D"/>
    <w:rsid w:val="00C65819"/>
    <w:rsid w:val="00C74895"/>
    <w:rsid w:val="00C75E67"/>
    <w:rsid w:val="00C878CE"/>
    <w:rsid w:val="00CC3C9F"/>
    <w:rsid w:val="00CC79D2"/>
    <w:rsid w:val="00CD455C"/>
    <w:rsid w:val="00CD4CFD"/>
    <w:rsid w:val="00CE217E"/>
    <w:rsid w:val="00CE7122"/>
    <w:rsid w:val="00CF03A1"/>
    <w:rsid w:val="00CF06A7"/>
    <w:rsid w:val="00D02805"/>
    <w:rsid w:val="00D059F3"/>
    <w:rsid w:val="00D05BAD"/>
    <w:rsid w:val="00D066A9"/>
    <w:rsid w:val="00D071BB"/>
    <w:rsid w:val="00D103FA"/>
    <w:rsid w:val="00D247B7"/>
    <w:rsid w:val="00D26E4F"/>
    <w:rsid w:val="00D30AD0"/>
    <w:rsid w:val="00D3175B"/>
    <w:rsid w:val="00D33A0A"/>
    <w:rsid w:val="00D3645C"/>
    <w:rsid w:val="00D44BA3"/>
    <w:rsid w:val="00D53941"/>
    <w:rsid w:val="00D56B70"/>
    <w:rsid w:val="00D634C0"/>
    <w:rsid w:val="00D82FA1"/>
    <w:rsid w:val="00D9349D"/>
    <w:rsid w:val="00DA3489"/>
    <w:rsid w:val="00DA7686"/>
    <w:rsid w:val="00DB6415"/>
    <w:rsid w:val="00DC0103"/>
    <w:rsid w:val="00DC3089"/>
    <w:rsid w:val="00DC5768"/>
    <w:rsid w:val="00DC6DAD"/>
    <w:rsid w:val="00DD5281"/>
    <w:rsid w:val="00DD6F45"/>
    <w:rsid w:val="00DE0084"/>
    <w:rsid w:val="00DE55D8"/>
    <w:rsid w:val="00DF1D83"/>
    <w:rsid w:val="00DF3E2F"/>
    <w:rsid w:val="00E110AA"/>
    <w:rsid w:val="00E13476"/>
    <w:rsid w:val="00E24504"/>
    <w:rsid w:val="00E24CA5"/>
    <w:rsid w:val="00E32641"/>
    <w:rsid w:val="00E32827"/>
    <w:rsid w:val="00E32B02"/>
    <w:rsid w:val="00E32C47"/>
    <w:rsid w:val="00E370DA"/>
    <w:rsid w:val="00E40951"/>
    <w:rsid w:val="00E46392"/>
    <w:rsid w:val="00E553DA"/>
    <w:rsid w:val="00E62325"/>
    <w:rsid w:val="00E71DC0"/>
    <w:rsid w:val="00E72E1A"/>
    <w:rsid w:val="00E74260"/>
    <w:rsid w:val="00E81447"/>
    <w:rsid w:val="00E8403E"/>
    <w:rsid w:val="00E94DAC"/>
    <w:rsid w:val="00E94E85"/>
    <w:rsid w:val="00EA6920"/>
    <w:rsid w:val="00EB28BC"/>
    <w:rsid w:val="00EC65AD"/>
    <w:rsid w:val="00EC6C3D"/>
    <w:rsid w:val="00ED1B0D"/>
    <w:rsid w:val="00EE4328"/>
    <w:rsid w:val="00EF5B66"/>
    <w:rsid w:val="00F02AE5"/>
    <w:rsid w:val="00F1299B"/>
    <w:rsid w:val="00F208C8"/>
    <w:rsid w:val="00F322CF"/>
    <w:rsid w:val="00F52226"/>
    <w:rsid w:val="00F65D08"/>
    <w:rsid w:val="00F65E9D"/>
    <w:rsid w:val="00F80350"/>
    <w:rsid w:val="00F90672"/>
    <w:rsid w:val="00F94D8B"/>
    <w:rsid w:val="00FA2163"/>
    <w:rsid w:val="00FB1B88"/>
    <w:rsid w:val="00FC2B1D"/>
    <w:rsid w:val="00FC3B80"/>
    <w:rsid w:val="00FE4672"/>
    <w:rsid w:val="00FE6CE2"/>
    <w:rsid w:val="00FF6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2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EE432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EE43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EE4328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EE43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qFormat/>
    <w:rsid w:val="00EE4328"/>
    <w:pPr>
      <w:spacing w:after="0" w:line="240" w:lineRule="auto"/>
      <w:ind w:left="720" w:firstLine="709"/>
      <w:contextualSpacing/>
      <w:jc w:val="both"/>
    </w:pPr>
    <w:rPr>
      <w:rFonts w:ascii="Calibri" w:eastAsia="Calibri" w:hAnsi="Calibri" w:cs="Times New Roman"/>
    </w:rPr>
  </w:style>
  <w:style w:type="character" w:styleId="a9">
    <w:name w:val="line number"/>
    <w:basedOn w:val="a0"/>
    <w:uiPriority w:val="99"/>
    <w:semiHidden/>
    <w:unhideWhenUsed/>
    <w:rsid w:val="00791052"/>
  </w:style>
  <w:style w:type="paragraph" w:styleId="aa">
    <w:name w:val="header"/>
    <w:basedOn w:val="a"/>
    <w:link w:val="ab"/>
    <w:uiPriority w:val="99"/>
    <w:unhideWhenUsed/>
    <w:rsid w:val="00791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91052"/>
  </w:style>
  <w:style w:type="paragraph" w:styleId="ac">
    <w:name w:val="footer"/>
    <w:basedOn w:val="a"/>
    <w:link w:val="ad"/>
    <w:uiPriority w:val="99"/>
    <w:unhideWhenUsed/>
    <w:rsid w:val="00791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91052"/>
  </w:style>
  <w:style w:type="paragraph" w:styleId="ae">
    <w:name w:val="Balloon Text"/>
    <w:basedOn w:val="a"/>
    <w:link w:val="af"/>
    <w:uiPriority w:val="99"/>
    <w:semiHidden/>
    <w:unhideWhenUsed/>
    <w:rsid w:val="00334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348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2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EE432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EE43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EE4328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EE43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qFormat/>
    <w:rsid w:val="00EE4328"/>
    <w:pPr>
      <w:spacing w:after="0" w:line="240" w:lineRule="auto"/>
      <w:ind w:left="720" w:firstLine="709"/>
      <w:contextualSpacing/>
      <w:jc w:val="both"/>
    </w:pPr>
    <w:rPr>
      <w:rFonts w:ascii="Calibri" w:eastAsia="Calibri" w:hAnsi="Calibri" w:cs="Times New Roman"/>
    </w:rPr>
  </w:style>
  <w:style w:type="character" w:styleId="a9">
    <w:name w:val="line number"/>
    <w:basedOn w:val="a0"/>
    <w:uiPriority w:val="99"/>
    <w:semiHidden/>
    <w:unhideWhenUsed/>
    <w:rsid w:val="00791052"/>
  </w:style>
  <w:style w:type="paragraph" w:styleId="aa">
    <w:name w:val="header"/>
    <w:basedOn w:val="a"/>
    <w:link w:val="ab"/>
    <w:uiPriority w:val="99"/>
    <w:unhideWhenUsed/>
    <w:rsid w:val="00791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91052"/>
  </w:style>
  <w:style w:type="paragraph" w:styleId="ac">
    <w:name w:val="footer"/>
    <w:basedOn w:val="a"/>
    <w:link w:val="ad"/>
    <w:uiPriority w:val="99"/>
    <w:unhideWhenUsed/>
    <w:rsid w:val="00791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91052"/>
  </w:style>
  <w:style w:type="paragraph" w:styleId="ae">
    <w:name w:val="Balloon Text"/>
    <w:basedOn w:val="a"/>
    <w:link w:val="af"/>
    <w:uiPriority w:val="99"/>
    <w:semiHidden/>
    <w:unhideWhenUsed/>
    <w:rsid w:val="00334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348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1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6931A-78B2-4AC6-9014-B2DEADC06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3185</Words>
  <Characters>18161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Ахаева</dc:creator>
  <cp:lastModifiedBy>Андрусяк Сергей Сергеевич</cp:lastModifiedBy>
  <cp:revision>2</cp:revision>
  <cp:lastPrinted>2015-04-13T21:37:00Z</cp:lastPrinted>
  <dcterms:created xsi:type="dcterms:W3CDTF">2016-03-08T22:40:00Z</dcterms:created>
  <dcterms:modified xsi:type="dcterms:W3CDTF">2016-03-08T22:40:00Z</dcterms:modified>
</cp:coreProperties>
</file>